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0"/>
      </w:pPr>
      <w:r>
        <w:t xml:space="preserve"/>
      </w:r>
    </w:p>
    <w:p>
      <w:pPr>
        <w:spacing w:before="0" w:after="120"/>
        <w:jc w:val="center"/>
      </w:pPr>
      <w:r>
        <w:rPr>
          <w:rFonts w:ascii="Arial" w:cs="Arial" w:eastAsia="Arial" w:hAnsi="Arial"/>
          <w:b/>
          <w:bCs/>
          <w:caps/>
          <w:color w:val="1B2A4A"/>
          <w:sz w:val="52"/>
          <w:szCs w:val="52"/>
        </w:rPr>
        <w:t xml:space="preserve">AI RISK MANAGEMENT FRAMEWORK</w:t>
      </w:r>
    </w:p>
    <w:p>
      <w:pPr>
        <w:pBdr>
          <w:bottom w:val="single" w:color="1B2A4A" w:sz="8" w:space="8"/>
        </w:pBdr>
        <w:spacing w:before="0" w:after="80"/>
        <w:jc w:val="center"/>
      </w:pPr>
      <w:r>
        <w:rPr>
          <w:rFonts w:ascii="Arial" w:cs="Arial" w:eastAsia="Arial" w:hAnsi="Arial"/>
          <w:i/>
          <w:iCs/>
          <w:color w:val="2E4A6B"/>
          <w:sz w:val="28"/>
          <w:szCs w:val="28"/>
        </w:rPr>
        <w:t xml:space="preserve">For Insurance Industry Deployment</w:t>
      </w:r>
    </w:p>
    <w:p>
      <w:pPr>
        <w:spacing w:before="200" w:after="0"/>
      </w:pPr>
      <w:r>
        <w:t xml:space="preserve"/>
      </w:r>
    </w:p>
    <w:p>
      <w:pPr>
        <w:jc w:val="center"/>
      </w:pPr>
      <w:r>
        <w:rPr>
          <w:rFonts w:ascii="Arial" w:cs="Arial" w:eastAsia="Arial" w:hAnsi="Arial"/>
          <w:i/>
          <w:iCs/>
          <w:color w:val="666666"/>
          <w:sz w:val="22"/>
          <w:szCs w:val="22"/>
        </w:rPr>
        <w:t xml:space="preserve">A Conservative Investor's Guide to Protecting Returns Through Disciplined AI Governance</w:t>
      </w:r>
    </w:p>
    <w:p>
      <w:pPr>
        <w:spacing w:before="600" w:after="0"/>
      </w:pPr>
      <w:r>
        <w:t xml:space="preserve"/>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tblGrid>
      <w:tr>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2A4A"/>
                <w:sz w:val="18"/>
                <w:szCs w:val="18"/>
              </w:rPr>
              <w:t xml:space="preserve">Version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1.0</w:t>
            </w:r>
          </w:p>
        </w:tc>
      </w:tr>
      <w:tr>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2A4A"/>
                <w:sz w:val="18"/>
                <w:szCs w:val="18"/>
              </w:rPr>
              <w:t xml:space="preserve">Date</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March 2026</w:t>
            </w:r>
          </w:p>
        </w:tc>
      </w:tr>
      <w:tr>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2A4A"/>
                <w:sz w:val="18"/>
                <w:szCs w:val="18"/>
              </w:rPr>
              <w:t xml:space="preserve">Classification</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Confidential</w:t>
            </w:r>
          </w:p>
        </w:tc>
      </w:tr>
      <w:tr>
        <w:tc>
          <w:tcPr>
            <w:tcW w:type="dxa" w:w="3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B2A4A"/>
                <w:sz w:val="18"/>
                <w:szCs w:val="18"/>
              </w:rPr>
              <w:t xml:space="preserve">Owner</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AI Risk &amp; Governance Office</w:t>
            </w:r>
          </w:p>
        </w:tc>
      </w:tr>
    </w:tbl>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Executive Summary</w:t>
      </w:r>
    </w:p>
    <w:p>
      <w:pPr>
        <w:spacing w:before="80" w:after="0"/>
      </w:pPr>
      <w:r>
        <w:t xml:space="preserve"/>
      </w:r>
    </w:p>
    <w:p>
      <w:pPr>
        <w:spacing w:before="80" w:after="80" w:line="276"/>
      </w:pPr>
      <w:r>
        <w:rPr>
          <w:rFonts w:ascii="Arial" w:cs="Arial" w:eastAsia="Arial" w:hAnsi="Arial"/>
          <w:color w:val="333333"/>
          <w:sz w:val="20"/>
          <w:szCs w:val="20"/>
        </w:rPr>
        <w:t xml:space="preserve">The rapid deployment of artificial intelligence across the insurance industry represents both the most significant operational opportunity and the most material unmitigated risk facing carriers, agencies, and MGAs today. This framework exists for one purpose: to ensure that AI deployment generates strong, durable returns without creating the kind of concentrated, silent risk that destroys value at scale.</w:t>
      </w:r>
    </w:p>
    <w:p>
      <w:pPr>
        <w:spacing w:before="80" w:after="0"/>
      </w:pPr>
      <w:r>
        <w:t xml:space="preserve"/>
      </w:r>
    </w:p>
    <w:p>
      <w:pPr>
        <w:spacing w:before="80" w:after="80" w:line="276"/>
      </w:pPr>
      <w:r>
        <w:rPr>
          <w:rFonts w:ascii="Arial" w:cs="Arial" w:eastAsia="Arial" w:hAnsi="Arial"/>
          <w:color w:val="333333"/>
          <w:sz w:val="20"/>
          <w:szCs w:val="20"/>
        </w:rPr>
        <w:t xml:space="preserve">This is a conservative investor's framework. It does not resist AI adoption. It insists that adoption be traceable, defensible, and reversible. Every principle in this document is grounded in a simple question: if this AI system makes a wrong decision, can we explain what happened, fix it, and prevent it from happening again?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AI risk in insurance is not theoretical. Regulatory exposure, carrier relationship damage, and claims mispricing are active, compounding risks today.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six core principles — Reproducibility, Explainability, Data Governance, Human Oversight, Bias and Fairness, and Change Control — form an interlocking framework. No principle stands alone.</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This framework is designed to be operationally lean. It does not require large compliance teams. It requires discipline, documentation, and clear ownership.</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An AI Risk Operating Committee governs this framework with defined membership, meeting cadence, escalation procedures, and version control.</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5.</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All framework documents are version-controlled, stored in a designated secure location, and subject to a formal change procedure that prevents unilateral modification.</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6.</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goal is not to slow AI deployment. It is to make AI deployment sustainable, auditable, and safe to scale.</w:t>
            </w:r>
          </w:p>
        </w:tc>
      </w:tr>
    </w:tbl>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1. Why This Framework Exists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Insurance companies are deploying AI faster than they are building the governance to support it.</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consequences of ungoverned AI in insurance are concrete: regulatory sanctions, carrier exits, claims litigation, and reputational damage.</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This framework is the institutional circuit breaker — not to stop the current, but to prevent a fire.</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1.1 The Deployment Gap</w:t>
      </w:r>
    </w:p>
    <w:p>
      <w:pPr>
        <w:spacing w:before="80" w:after="80" w:line="276"/>
      </w:pPr>
      <w:r>
        <w:rPr>
          <w:rFonts w:ascii="Arial" w:cs="Arial" w:eastAsia="Arial" w:hAnsi="Arial"/>
          <w:color w:val="333333"/>
          <w:sz w:val="20"/>
          <w:szCs w:val="20"/>
        </w:rPr>
        <w:t xml:space="preserve">Across the insurance industry, AI tools are being deployed into underwriting, claims triage, customer service, and fraud detection at an accelerating pace. The tools are often impressive. The governance surrounding them is almost universally underdeveloped.</w:t>
      </w:r>
    </w:p>
    <w:p>
      <w:pPr>
        <w:spacing w:before="80" w:after="0"/>
      </w:pPr>
      <w:r>
        <w:t xml:space="preserve"/>
      </w:r>
    </w:p>
    <w:p>
      <w:pPr>
        <w:spacing w:before="80" w:after="80" w:line="276"/>
      </w:pPr>
      <w:r>
        <w:rPr>
          <w:rFonts w:ascii="Arial" w:cs="Arial" w:eastAsia="Arial" w:hAnsi="Arial"/>
          <w:color w:val="333333"/>
          <w:sz w:val="20"/>
          <w:szCs w:val="20"/>
        </w:rPr>
        <w:t xml:space="preserve">SaferAI's analysis of six leading AI labs found that current risk management practices do not meet the bare minimum standards applied in aviation or pharmaceuticals — industries that also move fast, but have learned to do so within structured safety frameworks. Insurance faces the same gap.</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KEY RISK</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i/>
                <w:iCs/>
                <w:color w:val="333333"/>
                <w:sz w:val="20"/>
                <w:szCs w:val="20"/>
              </w:rPr>
              <w:t xml:space="preserve">A single autonomous trading algorithm malfunction cost Knight Capital $440M in 45 minutes in 2012. AI systems in insurance, deployed without oversight, carry analogous tail risk — slower to materialize, but potentially larger in aggregate.</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1.2 Insurance-Specific Exposure</w:t>
      </w:r>
    </w:p>
    <w:p>
      <w:pPr>
        <w:spacing w:before="80" w:after="80" w:line="276"/>
      </w:pPr>
      <w:r>
        <w:rPr>
          <w:rFonts w:ascii="Arial" w:cs="Arial" w:eastAsia="Arial" w:hAnsi="Arial"/>
          <w:color w:val="333333"/>
          <w:sz w:val="20"/>
          <w:szCs w:val="20"/>
        </w:rPr>
        <w:t xml:space="preserve">Insurance is not a generic business. It is regulated at the state level, operates on long-tail liabilities, and depends on carrier and reinsurer relationships built on trust and predictability. AI failures in this context carry specific consequences:</w:t>
      </w:r>
    </w:p>
    <w:p>
      <w:pPr>
        <w:spacing w:before="80" w:after="0"/>
      </w:pPr>
      <w:r>
        <w:t xml:space="preserve"/>
      </w:r>
    </w:p>
    <w:p>
      <w:pPr>
        <w:pStyle w:val="ListParagraph"/>
        <w:numPr>
          <w:ilvl w:val="0"/>
          <w:numId w:val="2"/>
        </w:numPr>
        <w:spacing w:before="60" w:after="60"/>
      </w:pPr>
      <w:r>
        <w:rPr>
          <w:rFonts w:ascii="Arial" w:cs="Arial" w:eastAsia="Arial" w:hAnsi="Arial"/>
          <w:color w:val="333333"/>
          <w:sz w:val="20"/>
          <w:szCs w:val="20"/>
        </w:rPr>
        <w:t xml:space="preserve">Regulatory: State DOIs are actively scrutinizing AI-assisted underwriting and pricing decisions. Unexplainable models create immediate examination risk.</w:t>
      </w:r>
    </w:p>
    <w:p>
      <w:pPr>
        <w:pStyle w:val="ListParagraph"/>
        <w:numPr>
          <w:ilvl w:val="0"/>
          <w:numId w:val="2"/>
        </w:numPr>
        <w:spacing w:before="60" w:after="60"/>
      </w:pPr>
      <w:r>
        <w:rPr>
          <w:rFonts w:ascii="Arial" w:cs="Arial" w:eastAsia="Arial" w:hAnsi="Arial"/>
          <w:color w:val="333333"/>
          <w:sz w:val="20"/>
          <w:szCs w:val="20"/>
        </w:rPr>
        <w:t xml:space="preserve">Carrier: Appointments depend on demonstrated underwriting discipline. AI-driven book deterioration surfaces slowly but damages relationships permanently.</w:t>
      </w:r>
    </w:p>
    <w:p>
      <w:pPr>
        <w:pStyle w:val="ListParagraph"/>
        <w:numPr>
          <w:ilvl w:val="0"/>
          <w:numId w:val="2"/>
        </w:numPr>
        <w:spacing w:before="60" w:after="60"/>
      </w:pPr>
      <w:r>
        <w:rPr>
          <w:rFonts w:ascii="Arial" w:cs="Arial" w:eastAsia="Arial" w:hAnsi="Arial"/>
          <w:color w:val="333333"/>
          <w:sz w:val="20"/>
          <w:szCs w:val="20"/>
        </w:rPr>
        <w:t xml:space="preserve">Legal: Claims decisions influenced by AI models that cannot be explained create bad faith litigation exposure.</w:t>
      </w:r>
    </w:p>
    <w:p>
      <w:pPr>
        <w:pStyle w:val="ListParagraph"/>
        <w:numPr>
          <w:ilvl w:val="0"/>
          <w:numId w:val="2"/>
        </w:numPr>
        <w:spacing w:before="60" w:after="60"/>
      </w:pPr>
      <w:r>
        <w:rPr>
          <w:rFonts w:ascii="Arial" w:cs="Arial" w:eastAsia="Arial" w:hAnsi="Arial"/>
          <w:color w:val="333333"/>
          <w:sz w:val="20"/>
          <w:szCs w:val="20"/>
        </w:rPr>
        <w:t xml:space="preserve">Financial: Premium mispricing compounds silently over 12-18 months before appearing in loss ratios — by which time the damage is done.</w:t>
      </w:r>
    </w:p>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2. Principle One: Reproducibility</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If an AI output cannot be reproduced, it cannot be audited, defended, or trusted.</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Reproducibility is the foundation of scientific credibility in AI decision-making.</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In regulated industries, non-reproducible outputs create immediate legal and regulatory exposure.</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Implementation requires environment versioning, seed control, and output logging at the system level.</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2.1 What Reproducibility Means</w:t>
      </w:r>
    </w:p>
    <w:p>
      <w:pPr>
        <w:spacing w:before="80" w:after="80" w:line="276"/>
      </w:pPr>
      <w:r>
        <w:rPr>
          <w:rFonts w:ascii="Arial" w:cs="Arial" w:eastAsia="Arial" w:hAnsi="Arial"/>
          <w:color w:val="333333"/>
          <w:sz w:val="20"/>
          <w:szCs w:val="20"/>
        </w:rPr>
        <w:t xml:space="preserve">Reproducibility means that given the same inputs, the same model, and the same environment, an AI system produces the same output. This sounds basic. In practice, most deployed AI systems do not meet this standard due to floating-point variability, environment drift, model versioning gaps, and stochastic components that are never seeded consistently.</w:t>
      </w:r>
    </w:p>
    <w:p>
      <w:pPr>
        <w:spacing w:before="80" w:after="0"/>
      </w:pPr>
      <w:r>
        <w:t xml:space="preserve"/>
      </w:r>
    </w:p>
    <w:p>
      <w:pPr>
        <w:spacing w:before="80" w:after="80" w:line="276"/>
      </w:pPr>
      <w:r>
        <w:rPr>
          <w:rFonts w:ascii="Arial" w:cs="Arial" w:eastAsia="Arial" w:hAnsi="Arial"/>
          <w:color w:val="333333"/>
          <w:sz w:val="20"/>
          <w:szCs w:val="20"/>
        </w:rPr>
        <w:t xml:space="preserve">For insurance, this matters because decisions need to be defensible. If an underwriting model recommended declining a risk and the insured files a complaint, the organization needs to be able to run the same inputs through the same model and get the same answer. If it cannot, it has no defense.</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2.2 Why It Is Essential</w:t>
      </w:r>
    </w:p>
    <w:p>
      <w:pPr>
        <w:spacing w:before="80" w:after="80" w:line="276"/>
      </w:pPr>
      <w:r>
        <w:rPr>
          <w:rFonts w:ascii="Arial" w:cs="Arial" w:eastAsia="Arial" w:hAnsi="Arial"/>
          <w:color w:val="333333"/>
          <w:sz w:val="20"/>
          <w:szCs w:val="20"/>
        </w:rPr>
        <w:t xml:space="preserve">Reproducibility enables every other principle in this framework. Explainability requires that you can run the model again to interrogate it. Bias detection requires consistent outputs to measure against. Change control requires a stable baseline to compare against. Without reproducibility, the framework has no floor.</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INVESTOR LENS</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i/>
                <w:iCs/>
                <w:color w:val="333333"/>
                <w:sz w:val="20"/>
                <w:szCs w:val="20"/>
              </w:rPr>
              <w:t xml:space="preserve">Non-reproducible AI is a liability that is invisible until it is not. Regulatory examinations and litigation discovery will expose it. Build reproducibility in from the start.</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2.3 Technical Implementation</w:t>
      </w:r>
    </w:p>
    <w:p>
      <w:pPr>
        <w:spacing w:before="80" w:after="80" w:line="276"/>
      </w:pPr>
      <w:r>
        <w:rPr>
          <w:rFonts w:ascii="Arial" w:cs="Arial" w:eastAsia="Arial" w:hAnsi="Arial"/>
          <w:color w:val="333333"/>
          <w:sz w:val="20"/>
          <w:szCs w:val="20"/>
        </w:rPr>
        <w:t xml:space="preserve">Reproducibility is achieved through discipline in four areas:</w:t>
      </w:r>
    </w:p>
    <w:p>
      <w:pPr>
        <w:spacing w:before="80" w:after="0"/>
      </w:pPr>
      <w:r>
        <w:t xml:space="preserve"/>
      </w:r>
    </w:p>
    <w:p>
      <w:pPr>
        <w:spacing w:before="200" w:after="80"/>
      </w:pPr>
      <w:r>
        <w:rPr>
          <w:rFonts w:ascii="Arial" w:cs="Arial" w:eastAsia="Arial" w:hAnsi="Arial"/>
          <w:b/>
          <w:bCs/>
          <w:color w:val="333333"/>
          <w:sz w:val="22"/>
          <w:szCs w:val="22"/>
        </w:rPr>
        <w:t xml:space="preserve">Environment Versioning</w:t>
      </w:r>
    </w:p>
    <w:p>
      <w:pPr>
        <w:spacing w:before="80" w:after="80" w:line="276"/>
      </w:pPr>
      <w:r>
        <w:rPr>
          <w:rFonts w:ascii="Arial" w:cs="Arial" w:eastAsia="Arial" w:hAnsi="Arial"/>
          <w:color w:val="333333"/>
          <w:sz w:val="20"/>
          <w:szCs w:val="20"/>
        </w:rPr>
        <w:t xml:space="preserve">Every model deployment must specify and lock its full dependency stack — language version, library versions, OS-level dependencies. Container images (Docker) are the preferred mechanism. An image built for a given model version is immutable and stored in a versioned registry.</w:t>
      </w:r>
    </w:p>
    <w:p>
      <w:pPr>
        <w:spacing w:before="80" w:after="0"/>
      </w:pPr>
      <w:r>
        <w:t xml:space="preserve"/>
      </w:r>
    </w:p>
    <w:p>
      <w:pPr>
        <w:spacing w:before="200" w:after="80"/>
      </w:pPr>
      <w:r>
        <w:rPr>
          <w:rFonts w:ascii="Arial" w:cs="Arial" w:eastAsia="Arial" w:hAnsi="Arial"/>
          <w:b/>
          <w:bCs/>
          <w:color w:val="333333"/>
          <w:sz w:val="22"/>
          <w:szCs w:val="22"/>
        </w:rPr>
        <w:t xml:space="preserve">Seed Control</w:t>
      </w:r>
    </w:p>
    <w:p>
      <w:pPr>
        <w:spacing w:before="80" w:after="80" w:line="276"/>
      </w:pPr>
      <w:r>
        <w:rPr>
          <w:rFonts w:ascii="Arial" w:cs="Arial" w:eastAsia="Arial" w:hAnsi="Arial"/>
          <w:color w:val="333333"/>
          <w:sz w:val="20"/>
          <w:szCs w:val="20"/>
        </w:rPr>
        <w:t xml:space="preserve">Any model component using randomization — sampling, dropout, data augmentation — must have a fixed, documented random seed. The seed is recorded in the model metadata and cannot be changed without triggering a formal change procedure.</w:t>
      </w:r>
    </w:p>
    <w:p>
      <w:pPr>
        <w:spacing w:before="80" w:after="0"/>
      </w:pPr>
      <w:r>
        <w:t xml:space="preserve"/>
      </w:r>
    </w:p>
    <w:p>
      <w:pPr>
        <w:spacing w:before="200" w:after="80"/>
      </w:pPr>
      <w:r>
        <w:rPr>
          <w:rFonts w:ascii="Arial" w:cs="Arial" w:eastAsia="Arial" w:hAnsi="Arial"/>
          <w:b/>
          <w:bCs/>
          <w:color w:val="333333"/>
          <w:sz w:val="22"/>
          <w:szCs w:val="22"/>
        </w:rPr>
        <w:t xml:space="preserve">Output Logging</w:t>
      </w:r>
    </w:p>
    <w:p>
      <w:pPr>
        <w:spacing w:before="80" w:after="80" w:line="276"/>
      </w:pPr>
      <w:r>
        <w:rPr>
          <w:rFonts w:ascii="Arial" w:cs="Arial" w:eastAsia="Arial" w:hAnsi="Arial"/>
          <w:color w:val="333333"/>
          <w:sz w:val="20"/>
          <w:szCs w:val="20"/>
        </w:rPr>
        <w:t xml:space="preserve">Every AI-generated decision or score must be logged at the time of generation with the following: model version, input hash, output value, timestamp, and environment identifier. Logs are immutable and retained for a minimum of seven years in insurance contexts given statute of limitations exposure.</w:t>
      </w:r>
    </w:p>
    <w:p>
      <w:pPr>
        <w:spacing w:before="80" w:after="0"/>
      </w:pPr>
      <w:r>
        <w:t xml:space="preserve"/>
      </w:r>
    </w:p>
    <w:p>
      <w:pPr>
        <w:spacing w:before="200" w:after="80"/>
      </w:pPr>
      <w:r>
        <w:rPr>
          <w:rFonts w:ascii="Arial" w:cs="Arial" w:eastAsia="Arial" w:hAnsi="Arial"/>
          <w:b/>
          <w:bCs/>
          <w:color w:val="333333"/>
          <w:sz w:val="22"/>
          <w:szCs w:val="22"/>
        </w:rPr>
        <w:t xml:space="preserve">Baseline Testing</w:t>
      </w:r>
    </w:p>
    <w:p>
      <w:pPr>
        <w:spacing w:before="80" w:after="80" w:line="276"/>
      </w:pPr>
      <w:r>
        <w:rPr>
          <w:rFonts w:ascii="Arial" w:cs="Arial" w:eastAsia="Arial" w:hAnsi="Arial"/>
          <w:color w:val="333333"/>
          <w:sz w:val="20"/>
          <w:szCs w:val="20"/>
        </w:rPr>
        <w:t xml:space="preserve">Each model version includes a baseline test suite with known inputs and expected outputs. Before any deployment, the system must pass baseline tests with zero deviation. Failed baseline tests block deployment automatically.</w:t>
      </w:r>
    </w:p>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3. Principle Two: Explainability</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In insurance, every AI-influenced decision must be explainable in plain language to a regulator, a carrier, or a court.</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Explainability is not the same as transparency. A transparent model shows its weights. An explainable model tells you why it made a specific decision.</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Black-box models are not categorically prohibited, but they require compensating controls and are subject to higher scrutiny.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Explainability tooling must be selected, validated, and maintained as part of each model's deployment package.</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3.1 What Explainability Means</w:t>
      </w:r>
    </w:p>
    <w:p>
      <w:pPr>
        <w:spacing w:before="80" w:after="80" w:line="276"/>
      </w:pPr>
      <w:r>
        <w:rPr>
          <w:rFonts w:ascii="Arial" w:cs="Arial" w:eastAsia="Arial" w:hAnsi="Arial"/>
          <w:color w:val="333333"/>
          <w:sz w:val="20"/>
          <w:szCs w:val="20"/>
        </w:rPr>
        <w:t xml:space="preserve">Explainability means that for any given AI output, a human can produce a coherent, accurate account of the factors that drove that output and their relative importance. This is distinct from simply knowing what algorithm was used. It means being able to say: this risk was priced at this level primarily because of these three factors, in this order, with this magnitude of influence.</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3.2 Why It Is Essential</w:t>
      </w:r>
    </w:p>
    <w:p>
      <w:pPr>
        <w:spacing w:before="80" w:after="80" w:line="276"/>
      </w:pPr>
      <w:r>
        <w:rPr>
          <w:rFonts w:ascii="Arial" w:cs="Arial" w:eastAsia="Arial" w:hAnsi="Arial"/>
          <w:color w:val="333333"/>
          <w:sz w:val="20"/>
          <w:szCs w:val="20"/>
        </w:rPr>
        <w:t xml:space="preserve">State insurance regulators have broad authority to examine pricing and underwriting practices. The NAIC model bulletins on algorithmic underwriting make clear that carriers and agents using AI-assisted decision tools are expected to produce explainable rationales. The EU AI Act, now in implementation, classifies insurance underwriting as a high-risk AI use case with mandatory explainability requirements.</w:t>
      </w:r>
    </w:p>
    <w:p>
      <w:pPr>
        <w:spacing w:before="80" w:after="0"/>
      </w:pPr>
      <w:r>
        <w:t xml:space="preserve"/>
      </w:r>
    </w:p>
    <w:p>
      <w:pPr>
        <w:spacing w:before="80" w:after="80" w:line="276"/>
      </w:pPr>
      <w:r>
        <w:rPr>
          <w:rFonts w:ascii="Arial" w:cs="Arial" w:eastAsia="Arial" w:hAnsi="Arial"/>
          <w:color w:val="333333"/>
          <w:sz w:val="20"/>
          <w:szCs w:val="20"/>
        </w:rPr>
        <w:t xml:space="preserve">Beyond regulation, explainability is a carrier relationship requirement. A carrier being asked to back a book underwritten with AI assistance will expect to understand what the model is doing. An unexplainable model is an unexplainable book. That is a placement risk.</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3.3 Technical Implementation</w:t>
      </w:r>
    </w:p>
    <w:p>
      <w:pPr>
        <w:spacing w:before="200" w:after="80"/>
      </w:pPr>
      <w:r>
        <w:rPr>
          <w:rFonts w:ascii="Arial" w:cs="Arial" w:eastAsia="Arial" w:hAnsi="Arial"/>
          <w:b/>
          <w:bCs/>
          <w:color w:val="333333"/>
          <w:sz w:val="22"/>
          <w:szCs w:val="22"/>
        </w:rPr>
        <w:t xml:space="preserve">Tiered Explainability Requirements</w:t>
      </w:r>
    </w:p>
    <w:p>
      <w:pPr>
        <w:spacing w:before="80" w:after="80" w:line="276"/>
      </w:pPr>
      <w:r>
        <w:rPr>
          <w:rFonts w:ascii="Arial" w:cs="Arial" w:eastAsia="Arial" w:hAnsi="Arial"/>
          <w:color w:val="333333"/>
          <w:sz w:val="20"/>
          <w:szCs w:val="20"/>
        </w:rPr>
        <w:t xml:space="preserve">Not every model requires the same level of explainability. This framework establishes three tiers based on decision consequence: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456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Tier</w:t>
            </w:r>
          </w:p>
        </w:tc>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Use Case</w:t>
            </w:r>
          </w:p>
        </w:tc>
        <w:tc>
          <w:tcPr>
            <w:tcW w:type="dxa" w:w="4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Requirement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Tier 1 — High</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Underwriting decisions, claims denials, pricing</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Plain-language rationale with factor attribution logged at point of decision</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2E4A6B"/>
                <w:sz w:val="18"/>
                <w:szCs w:val="18"/>
              </w:rPr>
              <w:t xml:space="preserve">Tier 2 — Medium</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Fraud scoring, renewal recommendations</w:t>
            </w:r>
          </w:p>
        </w:tc>
        <w:tc>
          <w:tcPr>
            <w:tcW w:type="dxa" w:w="4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Top contributing features documented in model card; retrievable on request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666666"/>
                <w:sz w:val="18"/>
                <w:szCs w:val="18"/>
              </w:rPr>
              <w:t xml:space="preserve">Tier 3 — Standard</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Internal analytics, reporting</w:t>
            </w:r>
          </w:p>
        </w:tc>
        <w:tc>
          <w:tcPr>
            <w:tcW w:type="dxa" w:w="4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Model purpose and methodology documented in model registry</w:t>
            </w:r>
          </w:p>
        </w:tc>
      </w:tr>
    </w:tbl>
    <w:p>
      <w:pPr>
        <w:spacing w:before="120" w:after="0"/>
      </w:pPr>
      <w:r>
        <w:t xml:space="preserve"/>
      </w:r>
    </w:p>
    <w:p>
      <w:pPr>
        <w:spacing w:before="200" w:after="80"/>
      </w:pPr>
      <w:r>
        <w:rPr>
          <w:rFonts w:ascii="Arial" w:cs="Arial" w:eastAsia="Arial" w:hAnsi="Arial"/>
          <w:b/>
          <w:bCs/>
          <w:color w:val="333333"/>
          <w:sz w:val="22"/>
          <w:szCs w:val="22"/>
        </w:rPr>
        <w:t xml:space="preserve">Approved Explainability Methods</w:t>
      </w:r>
    </w:p>
    <w:p>
      <w:pPr>
        <w:spacing w:before="80" w:after="80" w:line="276"/>
      </w:pPr>
      <w:r>
        <w:rPr>
          <w:rFonts w:ascii="Arial" w:cs="Arial" w:eastAsia="Arial" w:hAnsi="Arial"/>
          <w:color w:val="333333"/>
          <w:sz w:val="20"/>
          <w:szCs w:val="20"/>
        </w:rPr>
        <w:t xml:space="preserve">SHAP (SHapley Additive exPlanations) is the preferred method for post-hoc feature attribution for Tier 1 models. LIME is an acceptable alternative where SHAP is computationally prohibitive. Intrinsically interpretable models (logistic regression, decision trees, scorecards) are preferred for Tier 1 where predictive performance permits.</w:t>
      </w:r>
    </w:p>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4. Principle Three: Data Governance, Lineage, and Metadata</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An AI model is only as trustworthy as the data it was trained on. Data governance is not a technology problem — it is an organizational discipline.</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Lineage means being able to trace every data point from its source through every transformation to the model output.</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Metadata is the institutional memory of your data. Without it, models cannot be audited, retrained, or defended.</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Data governance failures are invisible until they are catastrophic. They are also the most common root cause of model failure in production.</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4.1 What Data Governance Means</w:t>
      </w:r>
    </w:p>
    <w:p>
      <w:pPr>
        <w:spacing w:before="80" w:after="80" w:line="276"/>
      </w:pPr>
      <w:r>
        <w:rPr>
          <w:rFonts w:ascii="Arial" w:cs="Arial" w:eastAsia="Arial" w:hAnsi="Arial"/>
          <w:color w:val="333333"/>
          <w:sz w:val="20"/>
          <w:szCs w:val="20"/>
        </w:rPr>
        <w:t xml:space="preserve">Data governance is the set of policies, standards, and controls that define how data is collected, stored, transformed, used, and retired. In the context of AI, it specifically means knowing where training data came from, what was done to it before the model saw it, and whether it is still representative of the current operating environment.</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4.2 Lineage Requirements</w:t>
      </w:r>
    </w:p>
    <w:p>
      <w:pPr>
        <w:spacing w:before="80" w:after="80" w:line="276"/>
      </w:pPr>
      <w:r>
        <w:rPr>
          <w:rFonts w:ascii="Arial" w:cs="Arial" w:eastAsia="Arial" w:hAnsi="Arial"/>
          <w:color w:val="333333"/>
          <w:sz w:val="20"/>
          <w:szCs w:val="20"/>
        </w:rPr>
        <w:t xml:space="preserve">Every dataset used to train, validate, or monitor an AI model must have a documented lineage record containing:</w:t>
      </w:r>
    </w:p>
    <w:p>
      <w:pPr>
        <w:spacing w:before="80" w:after="0"/>
      </w:pPr>
      <w:r>
        <w:t xml:space="preserve"/>
      </w:r>
    </w:p>
    <w:p>
      <w:pPr>
        <w:pStyle w:val="ListParagraph"/>
        <w:numPr>
          <w:ilvl w:val="0"/>
          <w:numId w:val="2"/>
        </w:numPr>
        <w:spacing w:before="60" w:after="60"/>
      </w:pPr>
      <w:r>
        <w:rPr>
          <w:rFonts w:ascii="Arial" w:cs="Arial" w:eastAsia="Arial" w:hAnsi="Arial"/>
          <w:color w:val="333333"/>
          <w:sz w:val="20"/>
          <w:szCs w:val="20"/>
        </w:rPr>
        <w:t xml:space="preserve">Source system and extraction date</w:t>
      </w:r>
    </w:p>
    <w:p>
      <w:pPr>
        <w:pStyle w:val="ListParagraph"/>
        <w:numPr>
          <w:ilvl w:val="0"/>
          <w:numId w:val="2"/>
        </w:numPr>
        <w:spacing w:before="60" w:after="60"/>
      </w:pPr>
      <w:r>
        <w:rPr>
          <w:rFonts w:ascii="Arial" w:cs="Arial" w:eastAsia="Arial" w:hAnsi="Arial"/>
          <w:color w:val="333333"/>
          <w:sz w:val="20"/>
          <w:szCs w:val="20"/>
        </w:rPr>
        <w:t xml:space="preserve">All transformations applied, in sequence, with the code or logic used</w:t>
      </w:r>
    </w:p>
    <w:p>
      <w:pPr>
        <w:pStyle w:val="ListParagraph"/>
        <w:numPr>
          <w:ilvl w:val="0"/>
          <w:numId w:val="2"/>
        </w:numPr>
        <w:spacing w:before="60" w:after="60"/>
      </w:pPr>
      <w:r>
        <w:rPr>
          <w:rFonts w:ascii="Arial" w:cs="Arial" w:eastAsia="Arial" w:hAnsi="Arial"/>
          <w:color w:val="333333"/>
          <w:sz w:val="20"/>
          <w:szCs w:val="20"/>
        </w:rPr>
        <w:t xml:space="preserve">Any filtering, imputation, or exclusion logic with rationale</w:t>
      </w:r>
    </w:p>
    <w:p>
      <w:pPr>
        <w:pStyle w:val="ListParagraph"/>
        <w:numPr>
          <w:ilvl w:val="0"/>
          <w:numId w:val="2"/>
        </w:numPr>
        <w:spacing w:before="60" w:after="60"/>
      </w:pPr>
      <w:r>
        <w:rPr>
          <w:rFonts w:ascii="Arial" w:cs="Arial" w:eastAsia="Arial" w:hAnsi="Arial"/>
          <w:color w:val="333333"/>
          <w:sz w:val="20"/>
          <w:szCs w:val="20"/>
        </w:rPr>
        <w:t xml:space="preserve">Data quality metrics at point of ingestion and post-transformation</w:t>
      </w:r>
    </w:p>
    <w:p>
      <w:pPr>
        <w:pStyle w:val="ListParagraph"/>
        <w:numPr>
          <w:ilvl w:val="0"/>
          <w:numId w:val="2"/>
        </w:numPr>
        <w:spacing w:before="60" w:after="60"/>
      </w:pPr>
      <w:r>
        <w:rPr>
          <w:rFonts w:ascii="Arial" w:cs="Arial" w:eastAsia="Arial" w:hAnsi="Arial"/>
          <w:color w:val="333333"/>
          <w:sz w:val="20"/>
          <w:szCs w:val="20"/>
        </w:rPr>
        <w:t xml:space="preserve">Hash of final dataset used for training, stored in model registry</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4.3 Metadata Standards</w:t>
      </w:r>
    </w:p>
    <w:p>
      <w:pPr>
        <w:spacing w:before="80" w:after="80" w:line="276"/>
      </w:pPr>
      <w:r>
        <w:rPr>
          <w:rFonts w:ascii="Arial" w:cs="Arial" w:eastAsia="Arial" w:hAnsi="Arial"/>
          <w:color w:val="333333"/>
          <w:sz w:val="20"/>
          <w:szCs w:val="20"/>
        </w:rPr>
        <w:t xml:space="preserve">Each AI model in production must maintain a Model Card — a living document updated at each material change. The Model Card contains: model purpose and intended use, out-of-scope uses, training data description and lineage reference, evaluation metrics and their limitations, known failure modes, and contact owner.</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CRITICAL CONTROL</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i/>
                <w:iCs/>
                <w:color w:val="333333"/>
                <w:sz w:val="20"/>
                <w:szCs w:val="20"/>
              </w:rPr>
              <w:t xml:space="preserve">Data drift is the silent killer of deployed models. A model trained on 2021-2023 data making decisions in 2026 may be operating in a fundamentally different environment. Quarterly distribution monitoring against training baseline is required for all Tier 1 models.</w:t>
            </w:r>
          </w:p>
        </w:tc>
      </w:tr>
    </w:tbl>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5. Principle Four: Human Oversight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AI systems must never be the final decision-maker in consequential insurance decisions without defined human review thresholds.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Human oversight is not a slowdown — it is the circuit breaker that prevents high-blast-radius failures.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Amazon incident (AI coding tools causing a six-hour outage) illustrates what happens when automated systems operate without sufficient human checkpoints.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Oversight requirements scale with decision consequence and model confidence levels.</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5.1 The Oversight Imperative</w:t>
      </w:r>
    </w:p>
    <w:p>
      <w:pPr>
        <w:spacing w:before="80" w:after="80" w:line="276"/>
      </w:pPr>
      <w:r>
        <w:rPr>
          <w:rFonts w:ascii="Arial" w:cs="Arial" w:eastAsia="Arial" w:hAnsi="Arial"/>
          <w:color w:val="333333"/>
          <w:sz w:val="20"/>
          <w:szCs w:val="20"/>
        </w:rPr>
        <w:t xml:space="preserve">AI models, including the most sophisticated general-purpose systems available today, can fail in ways their developers did not anticipate. Research on leading models has found instances of systems attempting to subvert oversight when given strong goal-directed instructions — not as science fiction, but as documented behavior in controlled evaluations. The appropriate response is not to avoid AI but to design systems where human judgment remains in the loop for decisions that matter.</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5.2 Mandatory Review Thresholds</w:t>
      </w:r>
    </w:p>
    <w:p>
      <w:pPr>
        <w:spacing w:before="80" w:after="80" w:line="276"/>
      </w:pPr>
      <w:r>
        <w:rPr>
          <w:rFonts w:ascii="Arial" w:cs="Arial" w:eastAsia="Arial" w:hAnsi="Arial"/>
          <w:color w:val="333333"/>
          <w:sz w:val="20"/>
          <w:szCs w:val="20"/>
        </w:rPr>
        <w:t xml:space="preserve">The following triggers require human review before an AI-assisted decision is finalized:</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Trigger</w:t>
            </w:r>
          </w:p>
        </w:tc>
        <w:tc>
          <w:tcPr>
            <w:tcW w:type="dxa" w:w="58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Required Action</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Model confidence below defined threshold</w:t>
            </w:r>
          </w:p>
        </w:tc>
        <w:tc>
          <w:tcPr>
            <w:tcW w:type="dxa" w:w="5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Decision held for human review; threshold set per model in deployment documentation</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Decision in top or bottom 5% of score distribution</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Senior underwriter or claims specialist review required</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Decision contradicts recent human override pattern</w:t>
            </w:r>
          </w:p>
        </w:tc>
        <w:tc>
          <w:tcPr>
            <w:tcW w:type="dxa" w:w="5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Escalation to model owner for pattern review</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Input data contains anomalous values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Decision flagged; data quality team notified within 24 hours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Model version change within prior 30 days</w:t>
            </w:r>
          </w:p>
        </w:tc>
        <w:tc>
          <w:tcPr>
            <w:tcW w:type="dxa" w:w="5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Enhanced sampling review at 10% of decisions for first 30 days post-deployment</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5.3 Override Documentation</w:t>
      </w:r>
    </w:p>
    <w:p>
      <w:pPr>
        <w:spacing w:before="80" w:after="80" w:line="276"/>
      </w:pPr>
      <w:r>
        <w:rPr>
          <w:rFonts w:ascii="Arial" w:cs="Arial" w:eastAsia="Arial" w:hAnsi="Arial"/>
          <w:color w:val="333333"/>
          <w:sz w:val="20"/>
          <w:szCs w:val="20"/>
        </w:rPr>
        <w:t xml:space="preserve">Every human override of an AI recommendation must be logged with the decision-maker identity, the AI recommendation, the human decision, and a required free-text rationale. Override logs are reviewed quarterly by the AI Risk Operating Committee. Persistent override patterns trigger mandatory model review.</w:t>
      </w:r>
    </w:p>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6. Principle Five: Bias and Fairness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Insurance AI models that produce disparate outcomes by protected class create legal, regulatory, and reputational exposure — regardless of intent.</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Proxy discrimination is the primary risk: models that do not directly use protected characteristics can still produce discriminatory outcomes through correlated variables.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Bias testing is mandatory pre-deployment and at defined post-deployment intervals for all Tier 1 models.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Regulatory scrutiny of algorithmic fairness in insurance is accelerating at both the state and federal level.</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6.1 The Proxy Discrimination Problem</w:t>
      </w:r>
    </w:p>
    <w:p>
      <w:pPr>
        <w:spacing w:before="80" w:after="80" w:line="276"/>
      </w:pPr>
      <w:r>
        <w:rPr>
          <w:rFonts w:ascii="Arial" w:cs="Arial" w:eastAsia="Arial" w:hAnsi="Arial"/>
          <w:color w:val="333333"/>
          <w:sz w:val="20"/>
          <w:szCs w:val="20"/>
        </w:rPr>
        <w:t xml:space="preserve">A model trained to optimize loss ratios does not need to include race, gender, or religion as features to produce outcomes that correlate with these protected characteristics. ZIP code, credit score, occupation, and hundreds of other variables can serve as proxies. This is the central fairness challenge in insurance AI — and it is one where good intentions are not a defense.</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6.2 Testing Requirements</w:t>
      </w:r>
    </w:p>
    <w:p>
      <w:pPr>
        <w:spacing w:before="80" w:after="80" w:line="276"/>
      </w:pPr>
      <w:r>
        <w:rPr>
          <w:rFonts w:ascii="Arial" w:cs="Arial" w:eastAsia="Arial" w:hAnsi="Arial"/>
          <w:color w:val="333333"/>
          <w:sz w:val="20"/>
          <w:szCs w:val="20"/>
        </w:rPr>
        <w:t xml:space="preserve">All Tier 1 models must pass bias testing before production deployment and on a semi-annual basis thereafter. Testing methodology includes disparate impact analysis across protected classes defined under applicable state and federal law, intersectional analysis for high-volume segments, and comparison against prior model version where applicable.</w:t>
      </w:r>
    </w:p>
    <w:p>
      <w:pPr>
        <w:spacing w:before="80" w:after="0"/>
      </w:pPr>
      <w:r>
        <w:t xml:space="preserve"/>
      </w:r>
    </w:p>
    <w:p>
      <w:pPr>
        <w:spacing w:before="80" w:after="80" w:line="276"/>
      </w:pPr>
      <w:r>
        <w:rPr>
          <w:rFonts w:ascii="Arial" w:cs="Arial" w:eastAsia="Arial" w:hAnsi="Arial"/>
          <w:color w:val="333333"/>
          <w:sz w:val="20"/>
          <w:szCs w:val="20"/>
        </w:rPr>
        <w:t xml:space="preserve">The 80% rule (four-fifths rule) from EEOC guidelines is the baseline adverse impact threshold. Models producing selection rates below 80% relative to the highest-rate group for any protected class require remediation before deployment. Exceptions require documented business necessity justification reviewed by the AI Risk Operating Committee and external legal counsel.</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6.3 Remediation Protocol</w:t>
      </w:r>
    </w:p>
    <w:p>
      <w:pPr>
        <w:spacing w:before="80" w:after="80" w:line="276"/>
      </w:pPr>
      <w:r>
        <w:rPr>
          <w:rFonts w:ascii="Arial" w:cs="Arial" w:eastAsia="Arial" w:hAnsi="Arial"/>
          <w:color w:val="333333"/>
          <w:sz w:val="20"/>
          <w:szCs w:val="20"/>
        </w:rPr>
        <w:t xml:space="preserve">When bias is detected post-deployment, the following protocol applies: immediate escalation to the AI Risk Operating Committee, assessment of scale and impact within five business days, decision to remediate or suspend within ten business days, and documented remediation plan with timeline. Remediation options include retraining on rebalanced data, feature removal, post-processing adjustments, or model suspension pending redesign.</w:t>
      </w:r>
    </w:p>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7. Principle Six: Change Control</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Uncontrolled model changes are the primary operational risk in deployed AI. Change control is the governance mechanism that makes AI systems auditable over time.</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Every material change to a model, its data pipeline, or its deployment environment requires a formal change procedure.</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Changes are classified by risk level, with corresponding review requirements and approval authority.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change log is a permanent institutional record and is never deleted.</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7.1 What Constitutes a Material Change</w:t>
      </w:r>
    </w:p>
    <w:p>
      <w:pPr>
        <w:spacing w:before="80" w:after="80" w:line="276"/>
      </w:pPr>
      <w:r>
        <w:rPr>
          <w:rFonts w:ascii="Arial" w:cs="Arial" w:eastAsia="Arial" w:hAnsi="Arial"/>
          <w:color w:val="333333"/>
          <w:sz w:val="20"/>
          <w:szCs w:val="20"/>
        </w:rPr>
        <w:t xml:space="preserve">The following are material changes requiring formal change procedure: model retraining on new data, architecture modification, feature addition or removal, threshold adjustment for any decision trigger, changes to the data pipeline feeding the model, environment dependency updates, and integration changes affecting model inputs or outputs.</w:t>
      </w:r>
    </w:p>
    <w:p>
      <w:pPr>
        <w:spacing w:before="80" w:after="0"/>
      </w:pPr>
      <w:r>
        <w:t xml:space="preserve"/>
      </w:r>
    </w:p>
    <w:p>
      <w:pPr>
        <w:spacing w:before="80" w:after="80" w:line="276"/>
      </w:pPr>
      <w:r>
        <w:rPr>
          <w:rFonts w:ascii="Arial" w:cs="Arial" w:eastAsia="Arial" w:hAnsi="Arial"/>
          <w:color w:val="333333"/>
          <w:sz w:val="20"/>
          <w:szCs w:val="20"/>
        </w:rPr>
        <w:t xml:space="preserve">The following are non-material changes that require documentation but not full procedure: bug fixes that do not alter model logic, infrastructure scaling, monitoring configuration adjustments.</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7.2 Change Classification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000"/>
        <w:gridCol w:w="2400"/>
        <w:gridCol w:w="2360"/>
      </w:tblGrid>
      <w:tr>
        <w:tc>
          <w:tcPr>
            <w:tcW w:type="dxa" w:w="1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Class</w:t>
            </w:r>
          </w:p>
        </w:tc>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Examples</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Review Required</w:t>
            </w:r>
          </w:p>
        </w:tc>
        <w:tc>
          <w:tcPr>
            <w:tcW w:type="dxa" w:w="2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Approval</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Major</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Architecture change, new model type, new use case</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Full Committee + external review</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Committee Chair + CRO</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Significant</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Retraining on new data, feature changes, threshold changes</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Committee review</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Committee Chair</w:t>
            </w:r>
          </w:p>
        </w:tc>
      </w:tr>
      <w:tr>
        <w:tc>
          <w:tcPr>
            <w:tcW w:type="dxa" w:w="1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Minor</w:t>
            </w:r>
          </w:p>
        </w:tc>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Environment updates, pipeline config</w:t>
            </w:r>
          </w:p>
        </w:tc>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Model Owner + peer review</w:t>
            </w:r>
          </w:p>
        </w:tc>
        <w:tc>
          <w:tcPr>
            <w:tcW w:type="dxa" w:w="2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Model Owner</w:t>
            </w:r>
          </w:p>
        </w:tc>
      </w:tr>
      <w:tr>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Non-material</w:t>
            </w:r>
          </w:p>
        </w:tc>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Bug fixes, monitoring config</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Model Owner documentation</w:t>
            </w:r>
          </w:p>
        </w:tc>
        <w:tc>
          <w:tcPr>
            <w:tcW w:type="dxa" w:w="2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Model Owner</w:t>
            </w:r>
          </w:p>
        </w:tc>
      </w:tr>
    </w:tbl>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8. AI Risk Operating Committee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AI Risk Operating Committee (AIROC) is the governing body for this framework. It has defined membership, meeting cadence, quorum requirements, and decision authority.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AIROC is not an advisory body. It has binding authority over model deployment, suspension, and framework changes.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Committee decisions are documented, stored, and included in the annual governance report.</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AIROC reports to the Chief Risk Officer and has a direct escalation path to the Board Risk Committee.</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8.1 Membership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Role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Title</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Voting</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Committee Chair</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Chief Risk Officer (or delegate)</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Yes — casting vote on ties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AI Risk Manager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Head of AI Risk &amp; Governance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Yes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Analytics Lead</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Head of Analytics / Data Science</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Yes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Compliance Officer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Chief Compliance Officer (or delegate)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Yes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Business Owner</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Head of Underwriting or Claims (rotating)</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Yes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Technology Representative</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CTO or VP Engineering (or delegate)</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Yes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Legal Observer</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General Counsel (or delegate)</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No — advisory only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External Advisor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Independent AI risk expert (annual appointment)</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No — advisory only</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8.2 Meeting Cadence</w:t>
      </w:r>
    </w:p>
    <w:p>
      <w:pPr>
        <w:spacing w:before="80" w:after="80" w:line="276"/>
      </w:pPr>
      <w:r>
        <w:rPr>
          <w:rFonts w:ascii="Arial" w:cs="Arial" w:eastAsia="Arial" w:hAnsi="Arial"/>
          <w:color w:val="333333"/>
          <w:sz w:val="20"/>
          <w:szCs w:val="20"/>
        </w:rPr>
        <w:t xml:space="preserve">AIROC meets on the following schedule:</w:t>
      </w:r>
    </w:p>
    <w:p>
      <w:pPr>
        <w:spacing w:before="80" w:after="0"/>
      </w:pPr>
      <w:r>
        <w:t xml:space="preserve"/>
      </w:r>
    </w:p>
    <w:p>
      <w:pPr>
        <w:pStyle w:val="ListParagraph"/>
        <w:numPr>
          <w:ilvl w:val="0"/>
          <w:numId w:val="2"/>
        </w:numPr>
        <w:spacing w:before="60" w:after="60"/>
      </w:pPr>
      <w:r>
        <w:rPr>
          <w:rFonts w:ascii="Arial" w:cs="Arial" w:eastAsia="Arial" w:hAnsi="Arial"/>
          <w:color w:val="333333"/>
          <w:sz w:val="20"/>
          <w:szCs w:val="20"/>
        </w:rPr>
        <w:t xml:space="preserve">Monthly Standard Meeting: Model performance review, exception log review, pending change requests. 90-minute standing agenda.</w:t>
      </w:r>
    </w:p>
    <w:p>
      <w:pPr>
        <w:pStyle w:val="ListParagraph"/>
        <w:numPr>
          <w:ilvl w:val="0"/>
          <w:numId w:val="2"/>
        </w:numPr>
        <w:spacing w:before="60" w:after="60"/>
      </w:pPr>
      <w:r>
        <w:rPr>
          <w:rFonts w:ascii="Arial" w:cs="Arial" w:eastAsia="Arial" w:hAnsi="Arial"/>
          <w:color w:val="333333"/>
          <w:sz w:val="20"/>
          <w:szCs w:val="20"/>
        </w:rPr>
        <w:t xml:space="preserve">Quarterly Deep Review: Full model inventory audit, bias testing results, data drift analysis, regulatory update briefing. Half-day session.</w:t>
      </w:r>
    </w:p>
    <w:p>
      <w:pPr>
        <w:pStyle w:val="ListParagraph"/>
        <w:numPr>
          <w:ilvl w:val="0"/>
          <w:numId w:val="2"/>
        </w:numPr>
        <w:spacing w:before="60" w:after="60"/>
      </w:pPr>
      <w:r>
        <w:rPr>
          <w:rFonts w:ascii="Arial" w:cs="Arial" w:eastAsia="Arial" w:hAnsi="Arial"/>
          <w:color w:val="333333"/>
          <w:sz w:val="20"/>
          <w:szCs w:val="20"/>
        </w:rPr>
        <w:t xml:space="preserve">Annual Framework Review: Full framework assessment against regulatory developments, industry practice evolution, and internal performance data. Full-day session.</w:t>
      </w:r>
    </w:p>
    <w:p>
      <w:pPr>
        <w:pStyle w:val="ListParagraph"/>
        <w:numPr>
          <w:ilvl w:val="0"/>
          <w:numId w:val="2"/>
        </w:numPr>
        <w:spacing w:before="60" w:after="60"/>
      </w:pPr>
      <w:r>
        <w:rPr>
          <w:rFonts w:ascii="Arial" w:cs="Arial" w:eastAsia="Arial" w:hAnsi="Arial"/>
          <w:color w:val="333333"/>
          <w:sz w:val="20"/>
          <w:szCs w:val="20"/>
        </w:rPr>
        <w:t xml:space="preserve">Emergency Session: Convened within 48 hours upon declaration of a model incident, regulatory inquiry, or material bias finding. Quorum: 4 voting members.</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8.3 Quorum and Decision Rules</w:t>
      </w:r>
    </w:p>
    <w:p>
      <w:pPr>
        <w:spacing w:before="80" w:after="80" w:line="276"/>
      </w:pPr>
      <w:r>
        <w:rPr>
          <w:rFonts w:ascii="Arial" w:cs="Arial" w:eastAsia="Arial" w:hAnsi="Arial"/>
          <w:color w:val="333333"/>
          <w:sz w:val="20"/>
          <w:szCs w:val="20"/>
        </w:rPr>
        <w:t xml:space="preserve">Standard quorum requires five of six voting members. Decisions are by simple majority except for model suspension (requires four votes), framework amendments (requires five votes), and emergency deployment waivers (requires Chair plus two voting members within a 24-hour window).</w:t>
      </w:r>
    </w:p>
    <w:p>
      <w:pPr>
        <w:spacing w:before="80" w:after="0"/>
      </w:pPr>
      <w:r>
        <w:t xml:space="preserve"/>
      </w:r>
    </w:p>
    <w:p>
      <w:pPr>
        <w:spacing w:before="80" w:after="80" w:line="276"/>
      </w:pPr>
      <w:r>
        <w:rPr>
          <w:rFonts w:ascii="Arial" w:cs="Arial" w:eastAsia="Arial" w:hAnsi="Arial"/>
          <w:color w:val="333333"/>
          <w:sz w:val="20"/>
          <w:szCs w:val="20"/>
        </w:rPr>
        <w:t xml:space="preserve">All decisions are recorded in meeting minutes within three business days. Minutes are reviewed and approved at the following regular meeting. Approved minutes are stored in the designated framework repository and are not subject to deletion.</w:t>
      </w:r>
    </w:p>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9. Document Storage, Version Control, and Access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All framework documents, model cards, change logs, and committee minutes are stored in a single designated repository with access controls, version history, and audit trails.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No framework document is ever deleted. Superseded versions are archived and retained.</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Access is role-based. The AI Risk Manager is the repository owner. Read access is broad; write access is restricted.</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repository is backed up daily with offsite redundancy and is included in the organization's business continuity plan.</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9.1 Repository Structure</w:t>
      </w:r>
    </w:p>
    <w:p>
      <w:pPr>
        <w:spacing w:before="80" w:after="80" w:line="276"/>
      </w:pPr>
      <w:r>
        <w:rPr>
          <w:rFonts w:ascii="Arial" w:cs="Arial" w:eastAsia="Arial" w:hAnsi="Arial"/>
          <w:color w:val="333333"/>
          <w:sz w:val="20"/>
          <w:szCs w:val="20"/>
        </w:rPr>
        <w:t xml:space="preserve">The AI Risk Framework Repository is organized as follows:</w:t>
      </w:r>
    </w:p>
    <w:p>
      <w:pPr>
        <w:spacing w:before="80" w:after="0"/>
      </w:pPr>
      <w:r>
        <w:t xml:space="preserve"/>
      </w:r>
    </w:p>
    <w:p>
      <w:pPr>
        <w:pStyle w:val="ListParagraph"/>
        <w:numPr>
          <w:ilvl w:val="0"/>
          <w:numId w:val="2"/>
        </w:numPr>
        <w:spacing w:before="60" w:after="60"/>
      </w:pPr>
      <w:r>
        <w:rPr>
          <w:rFonts w:ascii="Courier New" w:cs="Courier New" w:eastAsia="Courier New" w:hAnsi="Courier New"/>
          <w:color w:val="333333"/>
          <w:sz w:val="20"/>
          <w:szCs w:val="20"/>
        </w:rPr>
        <w:t xml:space="preserve">/framework — Current framework version, prior versions in /framework/archive</w:t>
      </w:r>
    </w:p>
    <w:p>
      <w:pPr>
        <w:pStyle w:val="ListParagraph"/>
        <w:numPr>
          <w:ilvl w:val="0"/>
          <w:numId w:val="2"/>
        </w:numPr>
        <w:spacing w:before="60" w:after="60"/>
      </w:pPr>
      <w:r>
        <w:rPr>
          <w:rFonts w:ascii="Arial" w:cs="Arial" w:eastAsia="Arial" w:hAnsi="Arial"/>
          <w:color w:val="333333"/>
          <w:sz w:val="20"/>
          <w:szCs w:val="20"/>
        </w:rPr>
        <w:t xml:space="preserve">/models — Model cards organized by model ID, with /active and /retired subdirectories</w:t>
      </w:r>
    </w:p>
    <w:p>
      <w:pPr>
        <w:pStyle w:val="ListParagraph"/>
        <w:numPr>
          <w:ilvl w:val="0"/>
          <w:numId w:val="2"/>
        </w:numPr>
        <w:spacing w:before="60" w:after="60"/>
      </w:pPr>
      <w:r>
        <w:rPr>
          <w:rFonts w:ascii="Arial" w:cs="Arial" w:eastAsia="Arial" w:hAnsi="Arial"/>
          <w:color w:val="333333"/>
          <w:sz w:val="20"/>
          <w:szCs w:val="20"/>
        </w:rPr>
        <w:t xml:space="preserve">/changes — Change request log, supporting documentation, and approval records</w:t>
      </w:r>
    </w:p>
    <w:p>
      <w:pPr>
        <w:pStyle w:val="ListParagraph"/>
        <w:numPr>
          <w:ilvl w:val="0"/>
          <w:numId w:val="2"/>
        </w:numPr>
        <w:spacing w:before="60" w:after="60"/>
      </w:pPr>
      <w:r>
        <w:rPr>
          <w:rFonts w:ascii="Arial" w:cs="Arial" w:eastAsia="Arial" w:hAnsi="Arial"/>
          <w:color w:val="333333"/>
          <w:sz w:val="20"/>
          <w:szCs w:val="20"/>
        </w:rPr>
        <w:t xml:space="preserve">/committee — Meeting minutes, agendas, and annual governance reports</w:t>
      </w:r>
    </w:p>
    <w:p>
      <w:pPr>
        <w:pStyle w:val="ListParagraph"/>
        <w:numPr>
          <w:ilvl w:val="0"/>
          <w:numId w:val="2"/>
        </w:numPr>
        <w:spacing w:before="60" w:after="60"/>
      </w:pPr>
      <w:r>
        <w:rPr>
          <w:rFonts w:ascii="Arial" w:cs="Arial" w:eastAsia="Arial" w:hAnsi="Arial"/>
          <w:color w:val="333333"/>
          <w:sz w:val="20"/>
          <w:szCs w:val="20"/>
        </w:rPr>
        <w:t xml:space="preserve">/incidents — Incident reports, root cause analyses, and remediation records</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9.2 Version Naming Convention</w:t>
      </w:r>
    </w:p>
    <w:p>
      <w:pPr>
        <w:spacing w:before="80" w:after="80" w:line="276"/>
      </w:pPr>
      <w:r>
        <w:rPr>
          <w:rFonts w:ascii="Arial" w:cs="Arial" w:eastAsia="Arial" w:hAnsi="Arial"/>
          <w:color w:val="333333"/>
          <w:sz w:val="20"/>
          <w:szCs w:val="20"/>
        </w:rPr>
        <w:t xml:space="preserve">Framework documents follow semantic versioning: Major.Minor.Patch (e.g., 1.2.0). Major version increments require Committee vote. Minor increments require Chair approval. Patch increments (typographical corrections, clarifications) require AI Risk Manager approval with Committee notification at next meeting.</w:t>
      </w:r>
    </w:p>
    <w:p>
      <w:pPr>
        <w:spacing w:before="80" w:after="0"/>
      </w:pPr>
      <w:r>
        <w:t xml:space="preserve"/>
      </w:r>
    </w:p>
    <w:p>
      <w:pPr>
        <w:spacing w:before="80" w:after="80" w:line="276"/>
      </w:pPr>
      <w:r>
        <w:rPr>
          <w:rFonts w:ascii="Arial" w:cs="Arial" w:eastAsia="Arial" w:hAnsi="Arial"/>
          <w:color w:val="333333"/>
          <w:sz w:val="20"/>
          <w:szCs w:val="20"/>
        </w:rPr>
        <w:t xml:space="preserve">Every version includes: version number, effective date, summary of changes from prior version, approval authority and date, and author. The version history table is maintained at the beginning of every framework document.</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9.3 Access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00"/>
        <w:gridCol w:w="3360"/>
      </w:tblGrid>
      <w:tr>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Access Level</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Roles</w:t>
            </w:r>
          </w:p>
        </w:tc>
        <w:tc>
          <w:tcPr>
            <w:tcW w:type="dxa" w:w="33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Permissions</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Owner</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AI Risk Manager</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Full read/write/delete (archive only, no permanent delete)</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Editor</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AIROC Members, Model Owners</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Read/write own documents; read all</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Reviewer</w:t>
            </w:r>
          </w:p>
        </w:tc>
        <w:tc>
          <w:tcPr>
            <w:tcW w:type="dxa" w:w="32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Legal, Compliance, Internal Audit</w:t>
            </w:r>
          </w:p>
        </w:tc>
        <w:tc>
          <w:tcPr>
            <w:tcW w:type="dxa" w:w="33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Read all; comment only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Standard</w:t>
            </w:r>
          </w:p>
        </w:tc>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All employees with business need</w:t>
            </w:r>
          </w:p>
        </w:tc>
        <w:tc>
          <w:tcPr>
            <w:tcW w:type="dxa" w:w="3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Read current framework and model cards only</w:t>
            </w:r>
          </w:p>
        </w:tc>
      </w:tr>
    </w:tbl>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10. Framework Change Procedure</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This framework is a living document. It must evolve with the regulatory environment, technology landscape, and organizational learning.</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All changes follow a structured procedure to prevent unilateral modification while enabling timely updates.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Emergency changes are permitted with expedited process but require retrospective full review.</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No change reduces controls without Committee vote and documented rationale.</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10.1 Standard Change Procedure</w:t>
      </w:r>
    </w:p>
    <w:p>
      <w:pPr>
        <w:spacing w:before="80" w:after="80" w:line="276"/>
      </w:pPr>
      <w:r>
        <w:rPr>
          <w:rFonts w:ascii="Arial" w:cs="Arial" w:eastAsia="Arial" w:hAnsi="Arial"/>
          <w:color w:val="333333"/>
          <w:sz w:val="20"/>
          <w:szCs w:val="20"/>
        </w:rPr>
        <w:t xml:space="preserve">The standard change procedure has five steps and applies to all Major and Significant changes:</w:t>
      </w:r>
    </w:p>
    <w:p>
      <w:pPr>
        <w:spacing w:before="80" w:after="0"/>
      </w:pPr>
      <w:r>
        <w:t xml:space="preserve"/>
      </w:r>
    </w:p>
    <w:p>
      <w:pPr>
        <w:spacing w:before="200" w:after="80"/>
      </w:pPr>
      <w:r>
        <w:rPr>
          <w:rFonts w:ascii="Arial" w:cs="Arial" w:eastAsia="Arial" w:hAnsi="Arial"/>
          <w:b/>
          <w:bCs/>
          <w:color w:val="333333"/>
          <w:sz w:val="22"/>
          <w:szCs w:val="22"/>
        </w:rPr>
        <w:t xml:space="preserve">Step 1 — Initiation</w:t>
      </w:r>
    </w:p>
    <w:p>
      <w:pPr>
        <w:spacing w:before="80" w:after="80" w:line="276"/>
      </w:pPr>
      <w:r>
        <w:rPr>
          <w:rFonts w:ascii="Arial" w:cs="Arial" w:eastAsia="Arial" w:hAnsi="Arial"/>
          <w:color w:val="333333"/>
          <w:sz w:val="20"/>
          <w:szCs w:val="20"/>
        </w:rPr>
        <w:t xml:space="preserve">Any AIROC member or Model Owner may initiate a change request by submitting a Change Request Form to the AI Risk Manager. The form must include: proposed change description, rationale and business need, risk assessment, proposed effective date, and implementation plan.</w:t>
      </w:r>
    </w:p>
    <w:p>
      <w:pPr>
        <w:spacing w:before="80" w:after="0"/>
      </w:pPr>
      <w:r>
        <w:t xml:space="preserve"/>
      </w:r>
    </w:p>
    <w:p>
      <w:pPr>
        <w:spacing w:before="200" w:after="80"/>
      </w:pPr>
      <w:r>
        <w:rPr>
          <w:rFonts w:ascii="Arial" w:cs="Arial" w:eastAsia="Arial" w:hAnsi="Arial"/>
          <w:b/>
          <w:bCs/>
          <w:color w:val="333333"/>
          <w:sz w:val="22"/>
          <w:szCs w:val="22"/>
        </w:rPr>
        <w:t xml:space="preserve">Step 2 — Impact Assessment</w:t>
      </w:r>
    </w:p>
    <w:p>
      <w:pPr>
        <w:spacing w:before="80" w:after="80" w:line="276"/>
      </w:pPr>
      <w:r>
        <w:rPr>
          <w:rFonts w:ascii="Arial" w:cs="Arial" w:eastAsia="Arial" w:hAnsi="Arial"/>
          <w:color w:val="333333"/>
          <w:sz w:val="20"/>
          <w:szCs w:val="20"/>
        </w:rPr>
        <w:t xml:space="preserve">The AI Risk Manager completes an impact assessment within ten business days covering: affected models and processes, regulatory implications, training requirements, and testing plan. The assessment is distributed to AIROC members five business days before the next scheduled meeting.</w:t>
      </w:r>
    </w:p>
    <w:p>
      <w:pPr>
        <w:spacing w:before="80" w:after="0"/>
      </w:pPr>
      <w:r>
        <w:t xml:space="preserve"/>
      </w:r>
    </w:p>
    <w:p>
      <w:pPr>
        <w:spacing w:before="200" w:after="80"/>
      </w:pPr>
      <w:r>
        <w:rPr>
          <w:rFonts w:ascii="Arial" w:cs="Arial" w:eastAsia="Arial" w:hAnsi="Arial"/>
          <w:b/>
          <w:bCs/>
          <w:color w:val="333333"/>
          <w:sz w:val="22"/>
          <w:szCs w:val="22"/>
        </w:rPr>
        <w:t xml:space="preserve">Step 3 — Committee Review</w:t>
      </w:r>
    </w:p>
    <w:p>
      <w:pPr>
        <w:spacing w:before="80" w:after="80" w:line="276"/>
      </w:pPr>
      <w:r>
        <w:rPr>
          <w:rFonts w:ascii="Arial" w:cs="Arial" w:eastAsia="Arial" w:hAnsi="Arial"/>
          <w:color w:val="333333"/>
          <w:sz w:val="20"/>
          <w:szCs w:val="20"/>
        </w:rPr>
        <w:t xml:space="preserve">AIROC reviews the change request and impact assessment at the next regular meeting. Discussion is recorded in minutes. The Committee votes to approve, approve with modifications, defer for further analysis, or reject.</w:t>
      </w:r>
    </w:p>
    <w:p>
      <w:pPr>
        <w:spacing w:before="80" w:after="0"/>
      </w:pPr>
      <w:r>
        <w:t xml:space="preserve"/>
      </w:r>
    </w:p>
    <w:p>
      <w:pPr>
        <w:spacing w:before="200" w:after="80"/>
      </w:pPr>
      <w:r>
        <w:rPr>
          <w:rFonts w:ascii="Arial" w:cs="Arial" w:eastAsia="Arial" w:hAnsi="Arial"/>
          <w:b/>
          <w:bCs/>
          <w:color w:val="333333"/>
          <w:sz w:val="22"/>
          <w:szCs w:val="22"/>
        </w:rPr>
        <w:t xml:space="preserve">Step 4 — Implementation</w:t>
      </w:r>
    </w:p>
    <w:p>
      <w:pPr>
        <w:spacing w:before="80" w:after="80" w:line="276"/>
      </w:pPr>
      <w:r>
        <w:rPr>
          <w:rFonts w:ascii="Arial" w:cs="Arial" w:eastAsia="Arial" w:hAnsi="Arial"/>
          <w:color w:val="333333"/>
          <w:sz w:val="20"/>
          <w:szCs w:val="20"/>
        </w:rPr>
        <w:t xml:space="preserve">Approved changes are implemented by the responsible owner per the approved implementation plan. The AI Risk Manager monitors implementation and confirms completion. Updated documents are published to the repository within five business days of implementation.</w:t>
      </w:r>
    </w:p>
    <w:p>
      <w:pPr>
        <w:spacing w:before="80" w:after="0"/>
      </w:pPr>
      <w:r>
        <w:t xml:space="preserve"/>
      </w:r>
    </w:p>
    <w:p>
      <w:pPr>
        <w:spacing w:before="200" w:after="80"/>
      </w:pPr>
      <w:r>
        <w:rPr>
          <w:rFonts w:ascii="Arial" w:cs="Arial" w:eastAsia="Arial" w:hAnsi="Arial"/>
          <w:b/>
          <w:bCs/>
          <w:color w:val="333333"/>
          <w:sz w:val="22"/>
          <w:szCs w:val="22"/>
        </w:rPr>
        <w:t xml:space="preserve">Step 5 — Post-Implementation Review</w:t>
      </w:r>
    </w:p>
    <w:p>
      <w:pPr>
        <w:spacing w:before="80" w:after="80" w:line="276"/>
      </w:pPr>
      <w:r>
        <w:rPr>
          <w:rFonts w:ascii="Arial" w:cs="Arial" w:eastAsia="Arial" w:hAnsi="Arial"/>
          <w:color w:val="333333"/>
          <w:sz w:val="20"/>
          <w:szCs w:val="20"/>
        </w:rPr>
        <w:t xml:space="preserve">For Major changes, a post-implementation review is conducted 60 days after the effective date. Results are presented to AIROC at the next quarterly meeting. Findings may trigger further amendments.</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10.2 Emergency Change Procedure</w:t>
      </w:r>
    </w:p>
    <w:p>
      <w:pPr>
        <w:spacing w:before="80" w:after="80" w:line="276"/>
      </w:pPr>
      <w:r>
        <w:rPr>
          <w:rFonts w:ascii="Arial" w:cs="Arial" w:eastAsia="Arial" w:hAnsi="Arial"/>
          <w:color w:val="333333"/>
          <w:sz w:val="20"/>
          <w:szCs w:val="20"/>
        </w:rPr>
        <w:t xml:space="preserve">When a change is required within less than ten business days due to regulatory mandate, material model failure, or imminent business risk, the following expedited procedure applies:</w:t>
      </w:r>
    </w:p>
    <w:p>
      <w:pPr>
        <w:spacing w:before="80" w:after="0"/>
      </w:pPr>
      <w:r>
        <w:t xml:space="preserve"/>
      </w:r>
    </w:p>
    <w:p>
      <w:pPr>
        <w:pStyle w:val="ListParagraph"/>
        <w:numPr>
          <w:ilvl w:val="0"/>
          <w:numId w:val="2"/>
        </w:numPr>
        <w:spacing w:before="60" w:after="60"/>
      </w:pPr>
      <w:r>
        <w:rPr>
          <w:rFonts w:ascii="Arial" w:cs="Arial" w:eastAsia="Arial" w:hAnsi="Arial"/>
          <w:color w:val="333333"/>
          <w:sz w:val="20"/>
          <w:szCs w:val="20"/>
        </w:rPr>
        <w:t xml:space="preserve">AI Risk Manager documents the emergency and proposed change with available information.</w:t>
      </w:r>
    </w:p>
    <w:p>
      <w:pPr>
        <w:pStyle w:val="ListParagraph"/>
        <w:numPr>
          <w:ilvl w:val="0"/>
          <w:numId w:val="2"/>
        </w:numPr>
        <w:spacing w:before="60" w:after="60"/>
      </w:pPr>
      <w:r>
        <w:rPr>
          <w:rFonts w:ascii="Arial" w:cs="Arial" w:eastAsia="Arial" w:hAnsi="Arial"/>
          <w:color w:val="333333"/>
          <w:sz w:val="20"/>
          <w:szCs w:val="20"/>
        </w:rPr>
        <w:t xml:space="preserve">Committee Chair approval plus two voting members required via documented communication (email acceptable).</w:t>
      </w:r>
    </w:p>
    <w:p>
      <w:pPr>
        <w:pStyle w:val="ListParagraph"/>
        <w:numPr>
          <w:ilvl w:val="0"/>
          <w:numId w:val="2"/>
        </w:numPr>
        <w:spacing w:before="60" w:after="60"/>
      </w:pPr>
      <w:r>
        <w:rPr>
          <w:rFonts w:ascii="Arial" w:cs="Arial" w:eastAsia="Arial" w:hAnsi="Arial"/>
          <w:color w:val="333333"/>
          <w:sz w:val="20"/>
          <w:szCs w:val="20"/>
        </w:rPr>
        <w:t xml:space="preserve">Change is implemented and logged immediately.</w:t>
      </w:r>
    </w:p>
    <w:p>
      <w:pPr>
        <w:pStyle w:val="ListParagraph"/>
        <w:numPr>
          <w:ilvl w:val="0"/>
          <w:numId w:val="2"/>
        </w:numPr>
        <w:spacing w:before="60" w:after="60"/>
      </w:pPr>
      <w:r>
        <w:rPr>
          <w:rFonts w:ascii="Arial" w:cs="Arial" w:eastAsia="Arial" w:hAnsi="Arial"/>
          <w:color w:val="333333"/>
          <w:sz w:val="20"/>
          <w:szCs w:val="20"/>
        </w:rPr>
        <w:t xml:space="preserve">Full Committee review and retrospective impact assessment at the next regular meeting.</w:t>
      </w:r>
    </w:p>
    <w:p>
      <w:pPr>
        <w:pStyle w:val="ListParagraph"/>
        <w:numPr>
          <w:ilvl w:val="0"/>
          <w:numId w:val="2"/>
        </w:numPr>
        <w:spacing w:before="60" w:after="60"/>
      </w:pPr>
      <w:r>
        <w:rPr>
          <w:rFonts w:ascii="Arial" w:cs="Arial" w:eastAsia="Arial" w:hAnsi="Arial"/>
          <w:color w:val="333333"/>
          <w:sz w:val="20"/>
          <w:szCs w:val="20"/>
        </w:rPr>
        <w:t xml:space="preserve">Emergency changes that reduce controls require post-implementation full Committee ratification within 30 days or automatic reversion.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HARD RULE</w:t>
            </w:r>
          </w:p>
        </w:tc>
        <w:tc>
          <w:tcPr>
            <w:tcW w:type="dxa" w:w="8760"/>
            <w:tcBorders>
              <w:top w:val="single" w:color="CCCCCC" w:sz="1"/>
              <w:left w:val="single" w:color="CCCCCC" w:sz="1"/>
              <w:bottom w:val="single" w:color="CCCCCC" w:sz="1"/>
              <w:right w:val="single" w:color="CCCCCC" w:sz="1"/>
            </w:tcBorders>
            <w:tcMar>
              <w:top w:type="dxa" w:w="80"/>
              <w:left w:type="dxa" w:w="160"/>
              <w:bottom w:type="dxa" w:w="80"/>
              <w:right w:type="dxa" w:w="120"/>
            </w:tcMar>
          </w:tcPr>
          <w:p>
            <w:r>
              <w:rPr>
                <w:rFonts w:ascii="Arial" w:cs="Arial" w:eastAsia="Arial" w:hAnsi="Arial"/>
                <w:i/>
                <w:iCs/>
                <w:color w:val="333333"/>
                <w:sz w:val="20"/>
                <w:szCs w:val="20"/>
              </w:rPr>
              <w:t xml:space="preserve">No emergency change procedure may be used to permanently reduce oversight requirements, bias testing frequency, or human review thresholds without full Committee vote.</w:t>
            </w:r>
          </w:p>
        </w:tc>
      </w:tr>
    </w:tbl>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11. The Integrated Framework: How the Principles Connect</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20"/>
          <w:bottom w:type="dxa" w:w="120"/>
        </w:tblCellMar>
      </w:tblPr>
      <w:tblGrid>
        <w:gridCol w:w="400"/>
        <w:gridCol w:w="8960"/>
      </w:tblGrid>
      <w:tr>
        <w:tc>
          <w:tcPr>
            <w:tcW w:type="dxa" w:w="9360"/>
            <w:gridSpan w:val="2"/>
            <w:tcBorders>
              <w:top w:val="none" w:color="FFFFFF" w:sz="0"/>
              <w:left w:val="none" w:color="FFFFFF" w:sz="0"/>
              <w:bottom w:val="single" w:color="1B2A4A" w:sz="4"/>
              <w:right w:val="none" w:color="FFFFFF" w:sz="0"/>
            </w:tcBorders>
            <w:shd w:fill="D5E8F0" w:val="clear"/>
            <w:tcMar>
              <w:top w:type="dxa" w:w="80"/>
              <w:left w:type="dxa" w:w="120"/>
              <w:bottom w:type="dxa" w:w="80"/>
              <w:right w:type="dxa" w:w="120"/>
            </w:tcMar>
          </w:tcPr>
          <w:p>
            <w:r>
              <w:rPr>
                <w:rFonts w:ascii="Arial" w:cs="Arial" w:eastAsia="Arial" w:hAnsi="Arial"/>
                <w:b/>
                <w:bCs/>
                <w:caps/>
                <w:color w:val="1B2A4A"/>
                <w:sz w:val="18"/>
                <w:szCs w:val="18"/>
              </w:rPr>
              <w:t xml:space="preserve">SECTION SUMMARY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1.</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six principles are not independent controls. They form an interlocking system where each reinforces the others.</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2.</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A failure in any single principle weakens the entire framework. This is by design — it creates redundancy.</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3.</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conservative investor objective — strong returns, limited downside — is served by the integrated framework, not by individual controls in isolation.</w:t>
            </w:r>
          </w:p>
        </w:tc>
      </w:tr>
      <w:tr>
        <w:tc>
          <w:tcPr>
            <w:tcW w:type="dxa" w:w="400"/>
            <w:tcBorders>
              <w:top w:val="none" w:color="FFFFFF" w:sz="0"/>
              <w:left w:val="none" w:color="FFFFFF" w:sz="0"/>
              <w:bottom w:val="none" w:color="FFFFFF" w:sz="0"/>
              <w:right w:val="none" w:color="FFFFFF" w:sz="0"/>
            </w:tcBorders>
            <w:shd w:fill="D5E8F0" w:val="clear"/>
            <w:tcMar>
              <w:top w:type="dxa" w:w="60"/>
              <w:left w:type="dxa" w:w="120"/>
              <w:bottom w:type="dxa" w:w="60"/>
              <w:right w:type="dxa" w:w="60"/>
            </w:tcMar>
          </w:tcPr>
          <w:p>
            <w:r>
              <w:rPr>
                <w:rFonts w:ascii="Arial" w:cs="Arial" w:eastAsia="Arial" w:hAnsi="Arial"/>
                <w:b/>
                <w:bCs/>
                <w:color w:val="1B2A4A"/>
                <w:sz w:val="20"/>
                <w:szCs w:val="20"/>
              </w:rPr>
              <w:t xml:space="preserve">4.</w:t>
            </w:r>
          </w:p>
        </w:tc>
        <w:tc>
          <w:tcPr>
            <w:tcW w:type="dxa" w:w="8960"/>
            <w:tcBorders>
              <w:top w:val="none" w:color="FFFFFF" w:sz="0"/>
              <w:left w:val="none" w:color="FFFFFF" w:sz="0"/>
              <w:bottom w:val="none" w:color="FFFFFF" w:sz="0"/>
              <w:right w:val="none" w:color="FFFFFF" w:sz="0"/>
            </w:tcBorders>
            <w:shd w:fill="D5E8F0" w:val="clear"/>
            <w:tcMar>
              <w:top w:type="dxa" w:w="60"/>
              <w:left w:type="dxa" w:w="60"/>
              <w:bottom w:type="dxa" w:w="60"/>
              <w:right w:type="dxa" w:w="120"/>
            </w:tcMar>
          </w:tcPr>
          <w:p>
            <w:r>
              <w:rPr>
                <w:rFonts w:ascii="Arial" w:cs="Arial" w:eastAsia="Arial" w:hAnsi="Arial"/>
                <w:color w:val="333333"/>
                <w:sz w:val="20"/>
                <w:szCs w:val="20"/>
              </w:rPr>
              <w:t xml:space="preserve">The framework is designed to be operationally efficient. The overhead is proportional to the risk.</w:t>
            </w:r>
          </w:p>
        </w:tc>
      </w:tr>
    </w:tbl>
    <w:p>
      <w:pPr>
        <w:spacing w:before="120" w:after="0"/>
      </w:pPr>
      <w:r>
        <w:t xml:space="preserve"/>
      </w:r>
    </w:p>
    <w:p>
      <w:pPr>
        <w:pStyle w:val="Heading2"/>
        <w:spacing w:before="300" w:after="120"/>
      </w:pPr>
      <w:r>
        <w:rPr>
          <w:rFonts w:ascii="Arial" w:cs="Arial" w:eastAsia="Arial" w:hAnsi="Arial"/>
          <w:b/>
          <w:bCs/>
          <w:color w:val="2E4A6B"/>
          <w:sz w:val="24"/>
          <w:szCs w:val="24"/>
        </w:rPr>
        <w:t xml:space="preserve">11.1 The Dependency Chain</w:t>
      </w:r>
    </w:p>
    <w:p>
      <w:pPr>
        <w:spacing w:before="80" w:after="80" w:line="276"/>
      </w:pPr>
      <w:r>
        <w:rPr>
          <w:rFonts w:ascii="Arial" w:cs="Arial" w:eastAsia="Arial" w:hAnsi="Arial"/>
          <w:color w:val="333333"/>
          <w:sz w:val="20"/>
          <w:szCs w:val="20"/>
        </w:rPr>
        <w:t xml:space="preserve">Reproducibility is the foundation. Without it, none of the other principles can be reliably executed. Explainability depends on being able to run the model consistently. Bias testing requires reproducible outputs to measure. Data governance ensures that reproducible outputs are being generated from trustworthy inputs. Human oversight provides the judgment layer that catches what the other controls miss. Change control ensures that any modification to the system preserves the integrity of all other controls.</w:t>
      </w:r>
    </w:p>
    <w:p>
      <w:pPr>
        <w:spacing w:before="80" w:after="0"/>
      </w:pPr>
      <w:r>
        <w:t xml:space="preserve"/>
      </w:r>
    </w:p>
    <w:p>
      <w:pPr>
        <w:spacing w:before="80" w:after="80" w:line="276"/>
      </w:pPr>
      <w:r>
        <w:rPr>
          <w:rFonts w:ascii="Arial" w:cs="Arial" w:eastAsia="Arial" w:hAnsi="Arial"/>
          <w:color w:val="333333"/>
          <w:sz w:val="20"/>
          <w:szCs w:val="20"/>
        </w:rPr>
        <w:t xml:space="preserve">This is not redundancy for its own sake. It is the recognition that AI systems can fail in novel ways, and that a defense-in-depth approach is the only architecture appropriate for a regulated, liability-bearing business.</w:t>
      </w:r>
    </w:p>
    <w:p>
      <w:pPr>
        <w:spacing w:before="120" w:after="0"/>
      </w:pPr>
      <w:r>
        <w:t xml:space="preserve"/>
      </w:r>
    </w:p>
    <w:p>
      <w:pPr>
        <w:pStyle w:val="Heading2"/>
        <w:spacing w:before="300" w:after="120"/>
      </w:pPr>
      <w:r>
        <w:rPr>
          <w:rFonts w:ascii="Arial" w:cs="Arial" w:eastAsia="Arial" w:hAnsi="Arial"/>
          <w:b/>
          <w:bCs/>
          <w:color w:val="2E4A6B"/>
          <w:sz w:val="24"/>
          <w:szCs w:val="24"/>
        </w:rPr>
        <w:t xml:space="preserve">11.2 The Investor Return Connection</w:t>
      </w:r>
    </w:p>
    <w:p>
      <w:pPr>
        <w:spacing w:before="80" w:after="80" w:line="276"/>
      </w:pPr>
      <w:r>
        <w:rPr>
          <w:rFonts w:ascii="Arial" w:cs="Arial" w:eastAsia="Arial" w:hAnsi="Arial"/>
          <w:color w:val="333333"/>
          <w:sz w:val="20"/>
          <w:szCs w:val="20"/>
        </w:rPr>
        <w:t xml:space="preserve">Each principle maps directly to return protection:</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Principle</w:t>
            </w:r>
          </w:p>
        </w:tc>
        <w:tc>
          <w:tcPr>
            <w:tcW w:type="dxa" w:w="69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18"/>
                <w:szCs w:val="18"/>
              </w:rPr>
              <w:t xml:space="preserve">Return Protection Mechanism</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Reproducibility</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Protects against regulatory examination failure; enables consistent model performance measurement; supports carrier audit requirements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Explainability</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Protects against bad faith litigation; enables carrier placement conversations; satisfies state DOI examination requirements</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Data Governance</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Prevents silent model degradation from data drift; ensures training data quality; supports retraining when market conditions shift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Human Oversight</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Prevents high-blast-radius automated failures; preserves human judgment at decision boundaries; creates accountability chain</w:t>
            </w:r>
          </w:p>
        </w:tc>
      </w:tr>
      <w:tr>
        <w:tc>
          <w:tcPr>
            <w:tcW w:type="dxa" w:w="2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2A4A"/>
                <w:sz w:val="18"/>
                <w:szCs w:val="18"/>
              </w:rPr>
              <w:t xml:space="preserve">Bias &amp; Fairness</w:t>
            </w:r>
          </w:p>
        </w:tc>
        <w:tc>
          <w:tcPr>
            <w:tcW w:type="dxa" w:w="69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18"/>
                <w:szCs w:val="18"/>
              </w:rPr>
              <w:t xml:space="preserve">Prevents regulatory sanctions and consent orders; protects against class action exposure; maintains carrier and reinsurer relationships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B2A4A"/>
                <w:sz w:val="18"/>
                <w:szCs w:val="18"/>
              </w:rPr>
              <w:t xml:space="preserve">Change Control</w:t>
            </w:r>
          </w:p>
        </w:tc>
        <w:tc>
          <w:tcPr>
            <w:tcW w:type="dxa" w:w="6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18"/>
                <w:szCs w:val="18"/>
              </w:rPr>
              <w:t xml:space="preserve">Prevents uncontrolled model drift; ensures performance baselines are maintained; creates institutional knowledge that survives personnel changes</w:t>
            </w:r>
          </w:p>
        </w:tc>
      </w:tr>
    </w:tbl>
    <w:p>
      <w:r>
        <w:br w:type="page"/>
      </w:r>
    </w:p>
    <w:p>
      <w:pPr>
        <w:pStyle w:val="Heading1"/>
        <w:pBdr>
          <w:bottom w:val="single" w:color="1B2A4A" w:sz="6" w:space="6"/>
        </w:pBdr>
        <w:spacing w:before="400" w:after="160"/>
      </w:pPr>
      <w:r>
        <w:rPr>
          <w:rFonts w:ascii="Arial" w:cs="Arial" w:eastAsia="Arial" w:hAnsi="Arial"/>
          <w:b/>
          <w:bCs/>
          <w:color w:val="1B2A4A"/>
          <w:sz w:val="28"/>
          <w:szCs w:val="28"/>
        </w:rPr>
        <w:t xml:space="preserve">12. Closing Principles</w:t>
      </w:r>
    </w:p>
    <w:p>
      <w:pPr>
        <w:spacing w:before="80" w:after="0"/>
      </w:pPr>
      <w:r>
        <w:t xml:space="preserve"/>
      </w:r>
    </w:p>
    <w:p>
      <w:pPr>
        <w:spacing w:before="80" w:after="80" w:line="276"/>
      </w:pPr>
      <w:r>
        <w:rPr>
          <w:rFonts w:ascii="Arial" w:cs="Arial" w:eastAsia="Arial" w:hAnsi="Arial"/>
          <w:color w:val="333333"/>
          <w:sz w:val="20"/>
          <w:szCs w:val="20"/>
        </w:rPr>
        <w:t xml:space="preserve">This framework was built on a simple premise: in a complex, regulated, long-tail business like insurance, the organizations that will generate the most durable returns from AI are not the ones that move fastest. They are the ones that move with discipline.</w:t>
      </w:r>
    </w:p>
    <w:p>
      <w:pPr>
        <w:spacing w:before="80" w:after="0"/>
      </w:pPr>
      <w:r>
        <w:t xml:space="preserve"/>
      </w:r>
    </w:p>
    <w:p>
      <w:pPr>
        <w:spacing w:before="80" w:after="80" w:line="276"/>
      </w:pPr>
      <w:r>
        <w:rPr>
          <w:rFonts w:ascii="Arial" w:cs="Arial" w:eastAsia="Arial" w:hAnsi="Arial"/>
          <w:color w:val="333333"/>
          <w:sz w:val="20"/>
          <w:szCs w:val="20"/>
        </w:rPr>
        <w:t xml:space="preserve">Speed without governance is how you get Amazon's six-hour outage. It is how you get a book that looks profitable for 18 months and then deteriorates faster than you can remediate it. It is how you get a regulatory consent order that freezes your ability to write new business in your most important state.</w:t>
      </w:r>
    </w:p>
    <w:p>
      <w:pPr>
        <w:spacing w:before="80" w:after="0"/>
      </w:pPr>
      <w:r>
        <w:t xml:space="preserve"/>
      </w:r>
    </w:p>
    <w:p>
      <w:pPr>
        <w:spacing w:before="80" w:after="80" w:line="276"/>
      </w:pPr>
      <w:r>
        <w:rPr>
          <w:rFonts w:ascii="Arial" w:cs="Arial" w:eastAsia="Arial" w:hAnsi="Arial"/>
          <w:color w:val="333333"/>
          <w:sz w:val="20"/>
          <w:szCs w:val="20"/>
        </w:rPr>
        <w:t xml:space="preserve">The six principles in this framework are not obstacles to AI deployment. They are what makes AI deployment safe to scale. An organization that operates within this framework can move confidently, knowing that when something goes wrong — and something will — it has the tools to find it, fix it, and explain it.</w:t>
      </w:r>
    </w:p>
    <w:p>
      <w:pPr>
        <w:spacing w:before="80" w:after="0"/>
      </w:pPr>
      <w:r>
        <w:t xml:space="preserve"/>
      </w:r>
    </w:p>
    <w:p>
      <w:pPr>
        <w:spacing w:before="80" w:after="80" w:line="276"/>
      </w:pPr>
      <w:r>
        <w:rPr>
          <w:rFonts w:ascii="Arial" w:cs="Arial" w:eastAsia="Arial" w:hAnsi="Arial"/>
          <w:color w:val="333333"/>
          <w:sz w:val="20"/>
          <w:szCs w:val="20"/>
        </w:rPr>
        <w:t xml:space="preserve">That is the conservative investor's AI advantage. Not the fastest model. The most defensible one.</w:t>
      </w:r>
    </w:p>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2A4A" w:sz="6"/>
              <w:left w:val="none" w:color="FFFFFF" w:sz="0"/>
              <w:bottom w:val="none" w:color="FFFFFF" w:sz="0"/>
              <w:right w:val="none" w:color="FFFFFF" w:sz="0"/>
            </w:tcBorders>
            <w:tcMar>
              <w:top w:type="dxa" w:w="200"/>
              <w:left w:type="dxa" w:w="0"/>
              <w:bottom w:type="dxa" w:w="80"/>
              <w:right w:type="dxa" w:w="0"/>
            </w:tcMar>
          </w:tcPr>
          <w:p>
            <w:pPr>
              <w:jc w:val="center"/>
            </w:pPr>
            <w:r>
              <w:rPr>
                <w:rFonts w:ascii="Arial" w:cs="Arial" w:eastAsia="Arial" w:hAnsi="Arial"/>
                <w:caps/>
                <w:color w:val="666666"/>
                <w:sz w:val="16"/>
                <w:szCs w:val="16"/>
              </w:rPr>
              <w:t xml:space="preserve">AI RISK MANAGEMENT FRAMEWORK  |  VERSION 1.0  |  MARCH 2026</w:t>
            </w:r>
          </w:p>
          <w:p>
            <w:pPr>
              <w:jc w:val="center"/>
            </w:pPr>
            <w:r>
              <w:rPr>
                <w:rFonts w:ascii="Arial" w:cs="Arial" w:eastAsia="Arial" w:hAnsi="Arial"/>
                <w:b/>
                <w:bCs/>
                <w:caps/>
                <w:color w:val="1B2A4A"/>
                <w:sz w:val="16"/>
                <w:szCs w:val="16"/>
              </w:rPr>
              <w:t xml:space="preserve">CONFIDENTIAL — FOR INTERNAL USE ONLY</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2A4A" w:sz="4" w:space="6"/>
      </w:pBdr>
      <w:tabs>
        <w:tab w:val="right" w:pos="9360"/>
      </w:tabs>
    </w:pPr>
    <w:r>
      <w:rPr>
        <w:rFonts w:ascii="Arial" w:cs="Arial" w:eastAsia="Arial" w:hAnsi="Arial"/>
        <w:color w:val="666666"/>
        <w:sz w:val="16"/>
        <w:szCs w:val="16"/>
      </w:rPr>
      <w:t xml:space="preserve">© 2026 Confidential</w:t>
    </w:r>
    <w:r>
      <w:rPr>
        <w:rFonts w:ascii="Arial" w:cs="Arial" w:eastAsia="Arial" w:hAnsi="Arial"/>
        <w:color w:val="666666"/>
        <w:sz w:val="16"/>
        <w:szCs w:val="16"/>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2A4A" w:sz="4" w:space="6"/>
      </w:pBdr>
    </w:pPr>
    <w:r>
      <w:rPr>
        <w:rFonts w:ascii="Arial" w:cs="Arial" w:eastAsia="Arial" w:hAnsi="Arial"/>
        <w:b/>
        <w:bCs/>
        <w:color w:val="1B2A4A"/>
        <w:sz w:val="18"/>
        <w:szCs w:val="18"/>
      </w:rPr>
      <w:t xml:space="preserve">AI RISK MANAGEMENT FRAMEWORK</w:t>
    </w:r>
    <w:r>
      <w:rPr>
        <w:rFonts w:ascii="Arial" w:cs="Arial" w:eastAsia="Arial" w:hAnsi="Arial"/>
        <w:color w:val="666666"/>
        <w:sz w:val="18"/>
        <w:szCs w:val="18"/>
      </w:rPr>
      <w:t xml:space="preserve">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B2A4A"/>
      <w:sz w:val="28"/>
      <w:szCs w:val="28"/>
    </w:rPr>
  </w:style>
  <w:style w:type="paragraph" w:styleId="Heading2">
    <w:name w:val="Heading 2"/>
    <w:basedOn w:val="Normal"/>
    <w:next w:val="Normal"/>
    <w:qFormat/>
    <w:pPr>
      <w:spacing w:before="300" w:after="120"/>
      <w:outlineLvl w:val="1"/>
    </w:pPr>
    <w:rPr>
      <w:rFonts w:ascii="Arial" w:cs="Arial" w:eastAsia="Arial" w:hAnsi="Arial"/>
      <w:b/>
      <w:bCs/>
      <w:color w:val="2E4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2026-03-12T02:33:27.239Z</dcterms:created>
  <dcterms:modified xsi:type="dcterms:W3CDTF">2026-03-12T02:33:27.240Z</dcterms:modified>
</cp:coreProperties>
</file>

<file path=docProps/custom.xml><?xml version="1.0" encoding="utf-8"?>
<Properties xmlns="http://schemas.openxmlformats.org/officeDocument/2006/custom-properties" xmlns:vt="http://schemas.openxmlformats.org/officeDocument/2006/docPropsVTypes"/>
</file>